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B" w:rsidRDefault="00711211">
      <w:pPr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PATVIRTINTA                                                                                                                         </w:t>
      </w:r>
    </w:p>
    <w:p w:rsidR="00FF132B" w:rsidRDefault="00711211">
      <w:pPr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Akmenės rajono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</w:p>
    <w:p w:rsidR="00FF132B" w:rsidRDefault="00711211">
      <w:pPr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Kruopių pagrindinės mokyklos direktoriaus</w:t>
      </w:r>
    </w:p>
    <w:p w:rsidR="00FF132B" w:rsidRDefault="00711211">
      <w:pPr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2023 m. </w:t>
      </w:r>
      <w:r w:rsidR="00DA6605">
        <w:rPr>
          <w:rFonts w:ascii="Times New Roman" w:eastAsia="Times New Roman" w:hAnsi="Times New Roman" w:cs="Times New Roman"/>
        </w:rPr>
        <w:t>vasario 20</w:t>
      </w:r>
      <w:r w:rsidR="00030E09">
        <w:rPr>
          <w:rFonts w:ascii="Times New Roman" w:eastAsia="Times New Roman" w:hAnsi="Times New Roman" w:cs="Times New Roman"/>
        </w:rPr>
        <w:t xml:space="preserve"> d. </w:t>
      </w:r>
      <w:r>
        <w:rPr>
          <w:rFonts w:ascii="Times New Roman" w:eastAsia="Times New Roman" w:hAnsi="Times New Roman" w:cs="Times New Roman"/>
        </w:rPr>
        <w:t>įsakymu Nr.   V-</w:t>
      </w:r>
      <w:r w:rsidR="00DA6605">
        <w:rPr>
          <w:rFonts w:ascii="Times New Roman" w:eastAsia="Times New Roman" w:hAnsi="Times New Roman" w:cs="Times New Roman"/>
        </w:rPr>
        <w:t>19</w:t>
      </w:r>
    </w:p>
    <w:p w:rsidR="00FF132B" w:rsidRDefault="00FF132B">
      <w:pPr>
        <w:pStyle w:val="Heading1"/>
        <w:spacing w:line="360" w:lineRule="auto"/>
        <w:ind w:left="0"/>
        <w:jc w:val="center"/>
      </w:pPr>
    </w:p>
    <w:p w:rsidR="00FF132B" w:rsidRDefault="00711211">
      <w:pPr>
        <w:pStyle w:val="Heading1"/>
        <w:spacing w:line="360" w:lineRule="auto"/>
        <w:ind w:left="0"/>
        <w:jc w:val="center"/>
      </w:pPr>
      <w:r>
        <w:t>EKOLOGIJOS IR APLINKOS TECHNOLOGIJŲ UGDYMO PROGRAMOS INTEGRAVIMO Į UGDYMO TU</w:t>
      </w:r>
      <w:r>
        <w:t xml:space="preserve">RINĮ </w:t>
      </w:r>
    </w:p>
    <w:p w:rsidR="00FF132B" w:rsidRDefault="00711211">
      <w:pPr>
        <w:pStyle w:val="Heading1"/>
        <w:spacing w:line="360" w:lineRule="auto"/>
        <w:ind w:left="0"/>
        <w:jc w:val="center"/>
      </w:pPr>
      <w:r>
        <w:t>PLANAS 2023 METAMS</w:t>
      </w:r>
    </w:p>
    <w:p w:rsidR="00FF132B" w:rsidRDefault="00711211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8" w:right="395" w:firstLine="10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PROGRAMOS PASKIRTIS. </w:t>
      </w:r>
      <w:r>
        <w:rPr>
          <w:rFonts w:ascii="Times New Roman" w:eastAsia="Times New Roman" w:hAnsi="Times New Roman" w:cs="Times New Roman"/>
          <w:color w:val="000000"/>
        </w:rPr>
        <w:t>Ekologijos ir aplinkos technologijų ugdymo sampratos paskirtis – apibrėžti savitą mokinių ekologijos ir aplinkos technologijų ugdymo mokykloje sistemą. Samprata apibrėžia ekologijos ir aplinkos technologijų ugd</w:t>
      </w:r>
      <w:r>
        <w:rPr>
          <w:rFonts w:ascii="Times New Roman" w:eastAsia="Times New Roman" w:hAnsi="Times New Roman" w:cs="Times New Roman"/>
          <w:color w:val="000000"/>
        </w:rPr>
        <w:t>ymo tikslą, uždavinius, principus ir pagrindines nuostatas, ugdymo turinio, ugdymo organizavimo ypatumus, mokytojams keliamus reikalavimus. Mokinių ekologijos ir aplinkos technologijų ugdymas grindžiamas Lietuvos Respublikos švietimo įstatymu, Netradicinio</w:t>
      </w:r>
      <w:r>
        <w:rPr>
          <w:rFonts w:ascii="Times New Roman" w:eastAsia="Times New Roman" w:hAnsi="Times New Roman" w:cs="Times New Roman"/>
          <w:color w:val="000000"/>
        </w:rPr>
        <w:t xml:space="preserve"> ugdymo koncepcija, patvirtinta Lietuvos Respublikos švietimo ir mokslo ministro 2010 m. kovo 5 d. įsakymu Nr. V-299 „Dėl Netradicinio ugdymo koncepcijos patvirtinimo“, atnaujinta Europos Sąjungos tvaraus vystymosi strategija, patvirtinta Europos Vadovų Ta</w:t>
      </w:r>
      <w:r>
        <w:rPr>
          <w:rFonts w:ascii="Times New Roman" w:eastAsia="Times New Roman" w:hAnsi="Times New Roman" w:cs="Times New Roman"/>
          <w:color w:val="000000"/>
        </w:rPr>
        <w:t>rybos 2006 m. birželio 26 d. nutarimu Nr. 10917/06, Nacionaline darnaus vystymosi strategija, patvirtinta Lietuvos Respublikos Vyriausybės 2003 m. rugsėjo 11 d. nutarimu Nr. 1160 „Dėl Nacionalinės darnaus vystymosi strategijos patvirtinimo ir įgyvendinimo“</w:t>
      </w:r>
      <w:r>
        <w:rPr>
          <w:rFonts w:ascii="Times New Roman" w:eastAsia="Times New Roman" w:hAnsi="Times New Roman" w:cs="Times New Roman"/>
          <w:color w:val="000000"/>
        </w:rPr>
        <w:t xml:space="preserve">, Valstybės pažangos strategija „Lietuvos pažangos strategija „Lietuva 2030“, patvirtinta Lietuvos Respublikos Seimo 2012 m. gegužės 15 d. nutarimu Nr. XI-2015 „Dėl Valstybės pažangos strategijos „Lietuvos pažangos strategija „Lietuva 2030“ patvirtinimo“. </w:t>
      </w:r>
    </w:p>
    <w:p w:rsidR="00FF132B" w:rsidRDefault="00711211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8" w:right="395" w:firstLine="10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PROGRAMOS TIKSLAS. </w:t>
      </w:r>
      <w:r>
        <w:rPr>
          <w:rFonts w:ascii="Times New Roman" w:eastAsia="Times New Roman" w:hAnsi="Times New Roman" w:cs="Times New Roman"/>
          <w:color w:val="000000"/>
        </w:rPr>
        <w:t>Ugdyti brandžią, turinčią esminių ekologijos ir aplinkos technologijų žinių, gebėjimų, vertybinių nuostatų asmenybę, gebančią savarankiškai pasirinkti tinkamas elgesio strategijas, prognozuoti savo veiklos padarinius aplinkai ir aktyvia</w:t>
      </w:r>
      <w:r>
        <w:rPr>
          <w:rFonts w:ascii="Times New Roman" w:eastAsia="Times New Roman" w:hAnsi="Times New Roman" w:cs="Times New Roman"/>
          <w:color w:val="000000"/>
        </w:rPr>
        <w:t>i veikti, siekiant aplinkos išsaugojimo.</w:t>
      </w:r>
    </w:p>
    <w:p w:rsidR="00FF132B" w:rsidRDefault="00711211">
      <w:pPr>
        <w:ind w:left="218" w:firstLine="10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PROGRAMOS UŽDAVINIAI. </w:t>
      </w:r>
      <w:r>
        <w:rPr>
          <w:rFonts w:ascii="Times New Roman" w:eastAsia="Times New Roman" w:hAnsi="Times New Roman" w:cs="Times New Roman"/>
        </w:rPr>
        <w:t>Siekiama, kad mokiniai:</w:t>
      </w:r>
    </w:p>
    <w:p w:rsidR="00FF132B" w:rsidRDefault="00711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  <w:tab w:val="left" w:pos="2225"/>
        </w:tabs>
        <w:spacing w:line="360" w:lineRule="auto"/>
        <w:ind w:left="1107" w:hanging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nuosekliai įgytų ekologijos ir aplinkos technologijų žinių, gebėjimų, kurių reikia ekologinėms problemoms spręsti.</w:t>
      </w:r>
    </w:p>
    <w:p w:rsidR="00FF132B" w:rsidRDefault="00711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  <w:tab w:val="left" w:pos="2225"/>
        </w:tabs>
        <w:spacing w:line="360" w:lineRule="auto"/>
        <w:ind w:left="1107" w:hanging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ugdytųsi tvirtas mokinio sveikos gyvensenos, aplinkos </w:t>
      </w:r>
      <w:r>
        <w:rPr>
          <w:rFonts w:ascii="Times New Roman" w:eastAsia="Times New Roman" w:hAnsi="Times New Roman" w:cs="Times New Roman"/>
          <w:color w:val="000000"/>
        </w:rPr>
        <w:t>puoselėjimo vertybines nuostatas, kurios įvairiomis aktyvios veiklos formomis reikštųsi prasmingoje Žemės išsaugojimo ateities kartoms veikloje.</w:t>
      </w:r>
    </w:p>
    <w:p w:rsidR="00FF132B" w:rsidRDefault="007112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  <w:tab w:val="left" w:pos="2225"/>
        </w:tabs>
        <w:spacing w:line="360" w:lineRule="auto"/>
        <w:ind w:left="1107" w:hanging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taptų atsakingais piliečiais, kuriančiais ir puoselėjančiais aplinką, ir įvairiose gyvenimo srityse savo veiklą</w:t>
      </w:r>
      <w:r>
        <w:rPr>
          <w:rFonts w:ascii="Times New Roman" w:eastAsia="Times New Roman" w:hAnsi="Times New Roman" w:cs="Times New Roman"/>
          <w:color w:val="000000"/>
        </w:rPr>
        <w:t xml:space="preserve"> grįstų darniojo vystymosi principais, humanizmo ir demokratijos vertybėmis, savitarpio supratimu, tarimosi ir susitarimo dvasia.</w:t>
      </w:r>
    </w:p>
    <w:p w:rsidR="00FF132B" w:rsidRDefault="00FF132B">
      <w:pPr>
        <w:pBdr>
          <w:top w:val="nil"/>
          <w:left w:val="nil"/>
          <w:bottom w:val="nil"/>
          <w:right w:val="nil"/>
          <w:between w:val="nil"/>
        </w:pBdr>
        <w:spacing w:before="7" w:after="6" w:line="360" w:lineRule="auto"/>
        <w:ind w:left="218" w:right="431" w:firstLine="889"/>
        <w:rPr>
          <w:rFonts w:ascii="Times New Roman" w:eastAsia="Times New Roman" w:hAnsi="Times New Roman" w:cs="Times New Roman"/>
          <w:b/>
          <w:color w:val="000000"/>
        </w:rPr>
      </w:pPr>
    </w:p>
    <w:p w:rsidR="00FF132B" w:rsidRDefault="00711211">
      <w:pPr>
        <w:pBdr>
          <w:top w:val="nil"/>
          <w:left w:val="nil"/>
          <w:bottom w:val="nil"/>
          <w:right w:val="nil"/>
          <w:between w:val="nil"/>
        </w:pBdr>
        <w:spacing w:before="7" w:after="6" w:line="360" w:lineRule="auto"/>
        <w:ind w:left="218" w:right="431" w:firstLine="8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PROGRAMOS STRUKTŪRA. </w:t>
      </w:r>
      <w:r>
        <w:rPr>
          <w:rFonts w:ascii="Times New Roman" w:eastAsia="Times New Roman" w:hAnsi="Times New Roman" w:cs="Times New Roman"/>
          <w:color w:val="000000"/>
        </w:rPr>
        <w:t>Mokyklos mokiniai ne tik įgyja žinių ir gebėjimų, padedančių suprasti socialinę, kultūrinę aplinką ir sė</w:t>
      </w:r>
      <w:r>
        <w:rPr>
          <w:rFonts w:ascii="Times New Roman" w:eastAsia="Times New Roman" w:hAnsi="Times New Roman" w:cs="Times New Roman"/>
          <w:color w:val="000000"/>
        </w:rPr>
        <w:t>kmingai joje veikti, bet ir ugdosi bendruosius gebėjimus, vertybines nuostatas. Įgyvendinant pradinio, pagrindinio, vidurinio ugdymo programas, siekiama:</w:t>
      </w:r>
    </w:p>
    <w:tbl>
      <w:tblPr>
        <w:tblStyle w:val="a"/>
        <w:tblW w:w="15068" w:type="dxa"/>
        <w:jc w:val="center"/>
        <w:tblInd w:w="0" w:type="dxa"/>
        <w:tblLayout w:type="fixed"/>
        <w:tblLook w:val="0400"/>
      </w:tblPr>
      <w:tblGrid>
        <w:gridCol w:w="1416"/>
        <w:gridCol w:w="912"/>
        <w:gridCol w:w="6119"/>
        <w:gridCol w:w="6621"/>
      </w:tblGrid>
      <w:tr w:rsidR="00FF132B">
        <w:trPr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Ugdymas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Klasės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Ekologijos ir aplinkos technologijų ugdymas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Mokinių pasiekimai</w:t>
            </w:r>
          </w:p>
        </w:tc>
      </w:tr>
      <w:tr w:rsidR="00FF132B">
        <w:trPr>
          <w:jc w:val="center"/>
        </w:trPr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Pagrindinis ugdymas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Ugdoma mokinių gamtamokslinė kompetencija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sąmoningo veikimo lygmenyje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analizuojant gamtos</w:t>
            </w:r>
          </w:p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reiškinius, apibendrinant nuosekliai įgytas integralias ekologines, aplinkos technologijų žinias, vertinant ir teikiant pasiūlymus, kai sprendžiamos gamtos apsaugos problemos. Akcentuojamas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patirtinis mokymas(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regiono aplinkos pažinimas, informacijos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rinkimas, problemų sprendimas,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aktyvi tiriamoji veikla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Mokiniams padedama sąmoningai vertinti save kaip asmenybę, formuoti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atsakingą požiūrį ir elgesį su aplinka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132B" w:rsidRDefault="00FF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right="283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Mokiniai: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turi vertybines nuostatas: atsakomybę už asmeninį elgesį supančioje aplinkoje, domėjimąsi aktualiomis ekologinėmis problemomis ir jų sprendimo būdais,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vykdo aktyvią sveikos gyvensenos įgūdžių sklaidą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geba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bendradarbiaujant grupėse, komandose ir savarankiš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kai planuoti, modeliuoti ir realizuoti tyrimus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naudojasi įvairiomis šiuolaikinėmis technologijomis;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vykdo tiriamąją veiklą, vadovaudamiesi tyrinėjimo saugos taisyklėmis, laikosi tyrėjo etikos, pristatydami tyrimo išvadas ir rekomendacijas;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išmoktas sąvoka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s, terminus panaudoja tiriamųjų darbų aprašuose, rengiamuose pranešimuose; 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atlieka ir pristato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savarankiškai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atliktas aplinkosaugos kūrybines užduotis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geba atlikti praktinius bei tiriamuosius darbus, konsultuodamiesi su ekologijos ir aplinkos technologij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ų specialistais praktikais ir mokslo atstovais;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geba kurti lokalios aplinkos interjero, eksterjero žaliųjų erdvių projektus ir juos įgyvendinti, padedami mokytojų; </w:t>
            </w:r>
          </w:p>
          <w:p w:rsidR="00FF132B" w:rsidRDefault="0071121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kritiškai įsivertina gebėjimus tyrinėti, pažinti pasaulį, spręsti problemas.</w:t>
            </w:r>
          </w:p>
        </w:tc>
      </w:tr>
      <w:tr w:rsidR="00FF132B">
        <w:trPr>
          <w:jc w:val="center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Nuosekliai plečiamos ekologijos ir aplinkos technologijų žinios, mokinių praktinių gebėjimų laukas, remiantis suformuotu emociniu ryšiu, formuojamas atsakingas, gamtą tausojantis elgesys. Akcentuojamas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patirtinis mokymas(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lokalios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aplinkos pažinimas,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informacijos rinkimas,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praktinė tiriamoji veikla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Mokiniai mokomi analizuoti ekologines problemas, surasti reikiamą informaciją, naudojantis įvairiais informacijos šaltiniais, reflektuoti, vertinti, analizuoti, pradedami diegti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probleminio mokymo(si) būdai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bei metodai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Plėtojami augalų auginimo, priežiūros gebėjimai.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Mokiniai: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turi vertybines nuostatas: susiformavusį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emocinį ryšį su supančia aplinka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domėjimąsi naujais aplinkos technologijų dalykais, norą aktyviai veikti, rūpinantis savo ir aplinkos saugumu, suformuotus sveikos gyvensenos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įgūdžius; 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geba tyrinėti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aplinką, modeliuoti ir atlikti tyrimus, bendradarbiaudami grupėse, komandose; 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geba įgytas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teorines žinias struktūrizuoti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jas taikyti praktinėje veikloje,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išvadas pagrįsti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geba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kelti hipotezes ir formuluoti išvadas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geba apibūdinti artimoje aplinkoje esančių augalų augimo sąlygas, priežiūros ypatybes; 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įvardija artimoje aplinkoje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stebimas ekologines problemas,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geba diskutuoti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apie globalines aplinkos problemas, rasti jų sprendimo būdus ir aktyviai dalyvauja ekologinių problemų sprendime, taiko aplinkos technologijas; 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geba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išreikšti asmeninį požiūrį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į aplinkosaugos problemas per 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ūrybines užduotis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FF132B" w:rsidRDefault="007112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7" w:right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supranta aplinkoje vykstančių procesų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priežastis ir pasekmes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jų tarpusavio ryšius</w:t>
            </w:r>
          </w:p>
        </w:tc>
      </w:tr>
      <w:tr w:rsidR="00FF132B">
        <w:trPr>
          <w:jc w:val="center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Pradinis ugdymas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Perteikiami ekologijos žinių pradmenys, suformuojant ekologijos ir aplinkos technologijų brandos pagrindus. Akcentuojamas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patirtinis mokymas(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– artimosios aplinkos pažinimas per pojūčius (jusles), praktinę veiklą. Formuojamas mokinio pozityvus emocinis ryšys – santykis su supančia aplinka, leidžiantis patirti teigiamas emocijas artimiausioje gamtinėje aplinkoje, išgyventi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pažinimo džiaugsmą. Mokiniai mokosi sėti, auginti, prižiūrėti sode ir darže augančius augalus, suvokti savo pojūčius, ugdytis gebėjimą žodžiu ir kūrybiniais darbais išreikšti jausmus bei požiūrį į vykstančius gamtoje procesus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83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Mokiniai: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turi vertybines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nuostatas: pozityvų emocinį ryšį su artimiausia supančia aplinka, norą aktyviai veikti, siekiant tausoti, tvarkyti aplinką, kurti gamtos grožį, puoselėti želdinius, prižiūrėti gyvūnus. Suformuojami asmeninės higienos įgūdžiai;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geba atpažinti artimiausioje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aplinkoje sutinkamas ir buityje naudojamas gamtines medžiagas, išmano jų savybes;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geba pažinti ir tyrinėti gamtinius procesus, išmano tyrinėjimo saugos taisykles ir jų laikosi;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geba atlikti ir pristatyti nesudėtingas aplinkosaugos kūrybines užduotis;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sėti, auginti ir prižiūrėti sodo, daržo augalus;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vartoja išmoktas sąvokas ir terminus;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paaiškina ir vertina savo veiklos rezultatus;</w:t>
            </w:r>
          </w:p>
          <w:p w:rsidR="00FF132B" w:rsidRDefault="007112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įvardija kasdienes aplinkosaugos problemas ir, mokytojui padedant, moka rasti jų sprendimo būdus.</w:t>
            </w:r>
          </w:p>
        </w:tc>
      </w:tr>
    </w:tbl>
    <w:p w:rsidR="00FF132B" w:rsidRDefault="00FF132B">
      <w:pPr>
        <w:pStyle w:val="Heading1"/>
        <w:spacing w:line="360" w:lineRule="auto"/>
        <w:ind w:left="0"/>
        <w:jc w:val="center"/>
      </w:pPr>
    </w:p>
    <w:p w:rsidR="00FF132B" w:rsidRDefault="00711211">
      <w:pPr>
        <w:pStyle w:val="Heading1"/>
        <w:spacing w:line="360" w:lineRule="auto"/>
        <w:ind w:left="0"/>
        <w:jc w:val="center"/>
      </w:pPr>
      <w:r>
        <w:t xml:space="preserve">BENDRŲJŲ KOMPETENCIJŲ </w:t>
      </w:r>
      <w:r>
        <w:t>RAIŠKA</w:t>
      </w:r>
      <w:r>
        <w:rPr>
          <w:b w:val="0"/>
        </w:rPr>
        <w:t xml:space="preserve"> </w:t>
      </w:r>
      <w:r>
        <w:t xml:space="preserve">ĮGYVENDINANT EKOLOGIJOS IR GAMTOS TECHNOLOGIJŲ </w:t>
      </w:r>
    </w:p>
    <w:p w:rsidR="00FF132B" w:rsidRDefault="00711211">
      <w:pPr>
        <w:pStyle w:val="Heading1"/>
        <w:spacing w:line="360" w:lineRule="auto"/>
        <w:ind w:left="0"/>
        <w:jc w:val="center"/>
      </w:pPr>
      <w:r>
        <w:lastRenderedPageBreak/>
        <w:t>PROGRAMOS PRIEMONES</w:t>
      </w:r>
    </w:p>
    <w:p w:rsidR="00FF132B" w:rsidRDefault="00711211">
      <w:pPr>
        <w:pStyle w:val="Heading1"/>
        <w:spacing w:line="360" w:lineRule="auto"/>
        <w:ind w:left="0" w:firstLine="1296"/>
        <w:jc w:val="left"/>
        <w:rPr>
          <w:b w:val="0"/>
        </w:rPr>
      </w:pPr>
      <w:r>
        <w:rPr>
          <w:b w:val="0"/>
        </w:rPr>
        <w:t>Dalyvaudami programos veiklose mokiniai ugdo bendrųjų kompetencijų gebėjimus:</w:t>
      </w:r>
    </w:p>
    <w:tbl>
      <w:tblPr>
        <w:tblStyle w:val="a0"/>
        <w:tblW w:w="15083" w:type="dxa"/>
        <w:tblInd w:w="0" w:type="dxa"/>
        <w:tblLayout w:type="fixed"/>
        <w:tblLook w:val="0400"/>
      </w:tblPr>
      <w:tblGrid>
        <w:gridCol w:w="3771"/>
        <w:gridCol w:w="3771"/>
        <w:gridCol w:w="3771"/>
        <w:gridCol w:w="3770"/>
      </w:tblGrid>
      <w:tr w:rsidR="00FF132B">
        <w:trPr>
          <w:trHeight w:val="288"/>
        </w:trPr>
        <w:tc>
          <w:tcPr>
            <w:tcW w:w="1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KOMUNIKAVIMO KOMPETENCIJA</w:t>
            </w:r>
          </w:p>
        </w:tc>
      </w:tr>
      <w:tr w:rsidR="00FF132B">
        <w:trPr>
          <w:cantSplit/>
          <w:trHeight w:val="309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Medijų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raštingumas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Informavimas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Bendravimas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Bendradarbiavimas</w:t>
            </w:r>
          </w:p>
        </w:tc>
      </w:tr>
      <w:tr w:rsidR="00FF132B">
        <w:trPr>
          <w:cantSplit/>
          <w:trHeight w:val="1644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Paaiškina </w:t>
            </w:r>
            <w:r>
              <w:rPr>
                <w:rFonts w:ascii="Times New Roman" w:eastAsia="Times New Roman" w:hAnsi="Times New Roman" w:cs="Times New Roman"/>
              </w:rPr>
              <w:t>informacijos perteikimo būdų (formų) paskirtį bei jų taikymo skirtingiems adresatams ir kontekstams ypatumus.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Tikslingai pasirenka žinių, požiūrių ir vertybinių nuostatų raiškos formas (verbalinę ir neverbalinę), adekvačiai suvokia gaunamą informaciją vert</w:t>
            </w:r>
            <w:r>
              <w:rPr>
                <w:rFonts w:ascii="Times New Roman" w:eastAsia="Times New Roman" w:hAnsi="Times New Roman" w:cs="Times New Roman"/>
              </w:rPr>
              <w:t>ina jos patikimumą.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Analizuoja įvairias bendravimo sąlygas bei esminius veiksnius kuriant socialinius ryšius mokykloje, bendruomenėje ir virtualioje erdvėje,</w:t>
            </w:r>
          </w:p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konstruktyviai dalyvauja diskusijoje.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Vertina informavimo etiškumą, konfidencialumą ir poveikį,</w:t>
            </w:r>
          </w:p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ieštaringose situacijose siekia kompromiso ir sutarimo, įsipareigoja ir telkia bendrai veiklai.</w:t>
            </w:r>
          </w:p>
        </w:tc>
      </w:tr>
      <w:tr w:rsidR="00FF132B">
        <w:trPr>
          <w:cantSplit/>
          <w:trHeight w:val="341"/>
        </w:trPr>
        <w:tc>
          <w:tcPr>
            <w:tcW w:w="15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KŪRYBIŠKUMO KOMPETENCIJA</w:t>
            </w:r>
          </w:p>
        </w:tc>
      </w:tr>
      <w:tr w:rsidR="00FF132B">
        <w:trPr>
          <w:cantSplit/>
          <w:trHeight w:val="280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Savirefleksija</w:t>
            </w:r>
            <w:proofErr w:type="spellEnd"/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Įžvalga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Saviraiška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Poveikis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FF132B">
        <w:trPr>
          <w:cantSplit/>
          <w:trHeight w:val="2785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Apibūdina savo santykį su pateiktu objektu (betarpiškai stebimu ar jo informaciniu</w:t>
            </w:r>
          </w:p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atvaizdu – tekstu, vaizdo medžiaga, ...), įvardija su juo susijusias savo patirtis ir žinias.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Identifikuoja spręstiną problemą ir(arba) pokyčio poreikį,  kaupia įrodymus ir argumentus, įžvelgia siekiamą rezultatą  (inovaciją), kritiškai vertina realias gal</w:t>
            </w:r>
            <w:r>
              <w:rPr>
                <w:rFonts w:ascii="Times New Roman" w:eastAsia="Times New Roman" w:hAnsi="Times New Roman" w:cs="Times New Roman"/>
              </w:rPr>
              <w:t>imybes bei rizikas;</w:t>
            </w:r>
          </w:p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apmąsto kūrinio koncepciją,  įžvelgia jos raiškos formas, renkasi priemones,  kritiškai vertina realias galimybes bei rizikas.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Realizuodama(s) įžvalgą, kuria originalias arba savitai susieja žinomas idėjas, svarsto įvairias kūrinio alte</w:t>
            </w:r>
            <w:r>
              <w:rPr>
                <w:rFonts w:ascii="Times New Roman" w:eastAsia="Times New Roman" w:hAnsi="Times New Roman" w:cs="Times New Roman"/>
              </w:rPr>
              <w:t>rnatyvas bei jų atitiktį tikslui, realioms sąlygoms ir vertybinėms nuostatoms.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Asmeniškai arba bendradarbiaudamas įgyvendina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inovatyvią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idėją, vertina, pagrindžia argumentais pasiekto rezultato visuomeninį reikšmingumą ir (tikėtiną) poveikį – socialiniu, e</w:t>
            </w:r>
            <w:r>
              <w:rPr>
                <w:rFonts w:ascii="Times New Roman" w:eastAsia="Times New Roman" w:hAnsi="Times New Roman" w:cs="Times New Roman"/>
              </w:rPr>
              <w:t>konominiu, ekologiniu, kultūros, etikos aspektais.</w:t>
            </w:r>
          </w:p>
        </w:tc>
      </w:tr>
      <w:tr w:rsidR="00FF132B">
        <w:trPr>
          <w:cantSplit/>
          <w:trHeight w:val="288"/>
        </w:trPr>
        <w:tc>
          <w:tcPr>
            <w:tcW w:w="15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PAŽINIMO KOMPETENCIJA</w:t>
            </w:r>
          </w:p>
        </w:tc>
      </w:tr>
      <w:tr w:rsidR="00FF132B">
        <w:trPr>
          <w:cantSplit/>
          <w:trHeight w:val="325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Žinios ir supratimas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Mokymasis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Tyrinėjimas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Abstrahavimas</w:t>
            </w:r>
          </w:p>
        </w:tc>
      </w:tr>
      <w:tr w:rsidR="00FF132B">
        <w:trPr>
          <w:cantSplit/>
          <w:trHeight w:val="369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Paaiškina su objektu susijusias pagrindines sąvokas, faktus, įvertina ir įvardija įgytų žinių bei patirties ir naujos </w:t>
            </w:r>
            <w:r>
              <w:rPr>
                <w:rFonts w:ascii="Times New Roman" w:eastAsia="Times New Roman" w:hAnsi="Times New Roman" w:cs="Times New Roman"/>
              </w:rPr>
              <w:t>mokymosi situacijos prieštarą,  kelia klausimus.</w:t>
            </w:r>
          </w:p>
          <w:p w:rsidR="00FF132B" w:rsidRDefault="00FF13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Formuluoja mokymosi poreikius, tikslą ir siekiamo rezultato vertinimo kriterijus, tikslingai atrenka, kaupia, analizuoja, sistemina ir apibendrina informaciją, įvertina naudotų šaltinių patikimumą.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Parengia</w:t>
            </w:r>
            <w:r>
              <w:rPr>
                <w:rFonts w:ascii="Times New Roman" w:eastAsia="Times New Roman" w:hAnsi="Times New Roman" w:cs="Times New Roman"/>
              </w:rPr>
              <w:t xml:space="preserve"> tyrimo strategiją (formuluoja tyrimo tikslą, uždavinius ir hipotezę, pasirenka metodus ir priemones, įvertina jų tinkamumą ir patikimumą),  analizuoja, kritiškai vertina tyrimo duomenis, formuluoja ir argumentuoja išvadas.</w:t>
            </w:r>
          </w:p>
          <w:p w:rsidR="00FF132B" w:rsidRDefault="00FF13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Pasitelkdamas įvairių mokomųjų </w:t>
            </w:r>
            <w:r>
              <w:rPr>
                <w:rFonts w:ascii="Times New Roman" w:eastAsia="Times New Roman" w:hAnsi="Times New Roman" w:cs="Times New Roman"/>
              </w:rPr>
              <w:t xml:space="preserve">dalykų žinias aiškina tikrovės reiškinius ir jų priežastis, atskleidžia skirtingų reiškinių, teorijų ir idėjų sąsajas. </w:t>
            </w:r>
          </w:p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Reflektuoja savo kognityvinę veiklą, (įsi)vertina patirtį ir pažangą, mokosi iš klaidų, išsikelia naujus tikslus.</w:t>
            </w:r>
          </w:p>
        </w:tc>
      </w:tr>
      <w:tr w:rsidR="00FF132B">
        <w:trPr>
          <w:cantSplit/>
          <w:trHeight w:val="336"/>
        </w:trPr>
        <w:tc>
          <w:tcPr>
            <w:tcW w:w="15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PILIETIŠKUMO </w:t>
            </w:r>
            <w:r>
              <w:rPr>
                <w:rFonts w:ascii="Times New Roman" w:eastAsia="Times New Roman" w:hAnsi="Times New Roman" w:cs="Times New Roman"/>
                <w:b/>
              </w:rPr>
              <w:t>KOMPETENCIJA</w:t>
            </w:r>
          </w:p>
        </w:tc>
      </w:tr>
      <w:tr w:rsidR="00FF132B">
        <w:trPr>
          <w:cantSplit/>
          <w:trHeight w:val="288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Teisinis raštingumas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Atsakomybė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Darnus vystymasis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Solidarumas</w:t>
            </w:r>
          </w:p>
        </w:tc>
      </w:tr>
      <w:tr w:rsidR="00FF132B">
        <w:trPr>
          <w:cantSplit/>
          <w:trHeight w:val="2279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Paaiškina valstybės institucijų ir nevyriausybinių organizacijų veikimo principus ir vaidmenį, atpažįsta daugialypių žmogaus teisių raišką vietos, nacionaliniu ir tarptautiniu </w:t>
            </w:r>
            <w:r>
              <w:rPr>
                <w:rFonts w:ascii="Times New Roman" w:eastAsia="Times New Roman" w:hAnsi="Times New Roman" w:cs="Times New Roman"/>
              </w:rPr>
              <w:t>lygiu.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Įžvelgia, kritiškai vertina ir prisiima atsakomybę už savo elgsenos ir veiksmų pasekmes sau, kitiems žmonėms ir aplinkai, vietos ir pasaulio mastu, argumentuotai pasirenka pažangias alternatyvas.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Inicijuoja ir įgyvendina darnaus vystymosi ir gyvenim</w:t>
            </w:r>
            <w:r>
              <w:rPr>
                <w:rFonts w:ascii="Times New Roman" w:eastAsia="Times New Roman" w:hAnsi="Times New Roman" w:cs="Times New Roman"/>
              </w:rPr>
              <w:t>o kokybės gerinimo projektus šeimoje, mokykloje, vietos bendruomenėje, skiria tinkamą dėmesį socialiai pažeidžiamų asmenų poreikiams.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Darnaus vystymosi požiūriu analizuoja visuomenės ir valstybės raidos procesus, pagrindžia įvairių (kultūros, socialinių, e</w:t>
            </w:r>
            <w:r>
              <w:rPr>
                <w:rFonts w:ascii="Times New Roman" w:eastAsia="Times New Roman" w:hAnsi="Times New Roman" w:cs="Times New Roman"/>
              </w:rPr>
              <w:t>konominių, ekologinių) reiškinių lokalios ir globalios raiškos tarpusavio priklausomybę ir kiekvieno žmogaus atsakomybę už juos.</w:t>
            </w:r>
          </w:p>
        </w:tc>
      </w:tr>
      <w:tr w:rsidR="00FF132B">
        <w:trPr>
          <w:cantSplit/>
          <w:trHeight w:val="337"/>
        </w:trPr>
        <w:tc>
          <w:tcPr>
            <w:tcW w:w="15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32B" w:rsidRDefault="0071121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SOCIALINĖ IR EMOCINĖ KOMPETENCIJA</w:t>
            </w:r>
          </w:p>
          <w:p w:rsidR="00FF132B" w:rsidRDefault="00FF132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cantSplit/>
          <w:trHeight w:val="276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Emocinis intelektas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Empatija</w:t>
            </w:r>
            <w:proofErr w:type="spellEnd"/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Lygiavertės galimybės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Bendrystė</w:t>
            </w:r>
          </w:p>
        </w:tc>
      </w:tr>
      <w:tr w:rsidR="00FF132B">
        <w:trPr>
          <w:cantSplit/>
          <w:trHeight w:val="1134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Atpažįsta ir įvardija savo </w:t>
            </w:r>
            <w:r>
              <w:rPr>
                <w:rFonts w:ascii="Times New Roman" w:eastAsia="Times New Roman" w:hAnsi="Times New Roman" w:cs="Times New Roman"/>
              </w:rPr>
              <w:t>vertybines nuostatas, jausmus ir emocijas, etiškai jas reiškia ir valdo, adekvačiai reaguoja į  jautrias, prieštaringas situacijas, įveikia stresą.</w:t>
            </w:r>
          </w:p>
          <w:p w:rsidR="00FF132B" w:rsidRDefault="00FF13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Atpažįsta ir įvardija kitų žmonių vertybines nuostatas, jausmus ir emocijas, aiškinasi jų kilmę ir priežast</w:t>
            </w:r>
            <w:r>
              <w:rPr>
                <w:rFonts w:ascii="Times New Roman" w:eastAsia="Times New Roman" w:hAnsi="Times New Roman" w:cs="Times New Roman"/>
              </w:rPr>
              <w:t>is, pripažįsta ir palaiko pozityvius poreikius ir lūkesčius.</w:t>
            </w:r>
          </w:p>
          <w:p w:rsidR="00FF132B" w:rsidRDefault="00FF13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Atpažįsta socialinės atskirties, diskriminacijos, patyčių ir smurto raišką,  savo elgesiu ir veiksmais kuria palaikančią, emociškai saugią aplinką mokykloje, bendruomenėje, virtualioje erdvėje, </w:t>
            </w:r>
            <w:r>
              <w:rPr>
                <w:rFonts w:ascii="Times New Roman" w:eastAsia="Times New Roman" w:hAnsi="Times New Roman" w:cs="Times New Roman"/>
              </w:rPr>
              <w:t>padeda jiems atskleisti savo galimybes</w:t>
            </w:r>
            <w:r>
              <w:rPr>
                <w:rFonts w:ascii="Times New Roman" w:eastAsia="Times New Roman" w:hAnsi="Times New Roman" w:cs="Times New Roman"/>
              </w:rPr>
              <w:tab/>
              <w:t>– motyvuoja, įtraukia į veiklą, prireikus suteikia pagalbą.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Vadovaujasi visuomenėje pripažintomis vertybinėmis nuostatomis ir elgesio taisyklėmis, kuria pagarbius, dialogiškus tarpasmeninius santykius, konstruktyviai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sprendžia konfliktus.</w:t>
            </w:r>
          </w:p>
          <w:p w:rsidR="00FF132B" w:rsidRDefault="00FF13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2B" w:rsidRDefault="00FF13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trHeight w:val="258"/>
        </w:trPr>
        <w:tc>
          <w:tcPr>
            <w:tcW w:w="15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32B" w:rsidRDefault="00711211">
            <w:pPr>
              <w:widowControl w:val="0"/>
              <w:ind w:right="-3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KŪLTŪRINĖ KOMPETENCIJA</w:t>
            </w:r>
          </w:p>
        </w:tc>
      </w:tr>
      <w:tr w:rsidR="00FF132B"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Tautinė tapatybė</w:t>
            </w:r>
          </w:p>
        </w:tc>
        <w:tc>
          <w:tcPr>
            <w:tcW w:w="7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Kultūrų įvairovė</w:t>
            </w:r>
          </w:p>
        </w:tc>
      </w:tr>
      <w:tr w:rsidR="00FF132B"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Atskleidžia tautinės kultūros savitumą bei joje koduojamų idėjų ir prasmių sąsajas su vertybinėmis nuostatomis, analizuoja tradicijų ir naujovių sąveiką šiuolaikinėje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visuomenėje (gyvensenoje, socialiniuose santykiuose ir kt.)</w:t>
            </w:r>
          </w:p>
        </w:tc>
        <w:tc>
          <w:tcPr>
            <w:tcW w:w="7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Analizuoja skirtingų kultūros sričių lokalius ypatumus ir jų sąveiką globalizacijos sąlygomis, pagrindžia jos pranašumus ir trūkumus, kritiškai vertina populiariosios kultūros reiškinius.</w:t>
            </w:r>
          </w:p>
        </w:tc>
      </w:tr>
      <w:tr w:rsidR="00FF132B">
        <w:tc>
          <w:tcPr>
            <w:tcW w:w="15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SKAITME</w:t>
            </w:r>
            <w:r>
              <w:rPr>
                <w:rFonts w:ascii="Times New Roman" w:eastAsia="Times New Roman" w:hAnsi="Times New Roman" w:cs="Times New Roman"/>
                <w:b/>
              </w:rPr>
              <w:t>NINĖ KOMPETENCIJA</w:t>
            </w:r>
          </w:p>
        </w:tc>
      </w:tr>
      <w:tr w:rsidR="00FF132B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Skaitmeninis turinys 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Skaitmeninis komunikavimas 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Skaitmeninė sauga 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9BB"/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Problemų sprendimas </w:t>
            </w:r>
          </w:p>
        </w:tc>
      </w:tr>
      <w:tr w:rsidR="00FF132B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Kuria įvairių formų ir formatų skaitmeninį turinį bei dirba su juo: skaitmeninio turinio paieška, filtravimas (atranka), analizė ir kritinis </w:t>
            </w:r>
            <w:r>
              <w:rPr>
                <w:rFonts w:ascii="Times New Roman" w:eastAsia="Times New Roman" w:hAnsi="Times New Roman" w:cs="Times New Roman"/>
              </w:rPr>
              <w:t>vertinimas, valdymas, pertvarkymas, integravimas ir kt.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Bendrauja ir bendradarbiauja naudodamiesi skaitmeninėmis technologijomis, atsakingai elgiasi skaitmeninėje erdvėje, laikantis visuotinai pripažinto kompiuterių tinklo etiketo, valdo skaitmeninę tapaty</w:t>
            </w:r>
            <w:r>
              <w:rPr>
                <w:rFonts w:ascii="Times New Roman" w:eastAsia="Times New Roman" w:hAnsi="Times New Roman" w:cs="Times New Roman"/>
              </w:rPr>
              <w:t>bę ir kitą informaciją, saugo savo ir kitų reputaciją internete.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Saugiai naudojasi skaitmeninėmis technologijomis, saugo asmens duomenis bei privatumą skaitmeninėje erdvėje, tinkamai naudoja skaitmenines technologijas siekiant saugoti aplinką.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Kūrybiškai n</w:t>
            </w:r>
            <w:r>
              <w:rPr>
                <w:rFonts w:ascii="Times New Roman" w:eastAsia="Times New Roman" w:hAnsi="Times New Roman" w:cs="Times New Roman"/>
              </w:rPr>
              <w:t>audoja skaitmenines technologijas problemoms spręsti. Kritiškai vertina galimus problemos sprendimo variantus, pasirenka skaitmenines technologijas.</w:t>
            </w:r>
          </w:p>
        </w:tc>
      </w:tr>
    </w:tbl>
    <w:p w:rsidR="00FF132B" w:rsidRDefault="00FF132B">
      <w:pPr>
        <w:rPr>
          <w:rFonts w:ascii="Times New Roman" w:eastAsia="Times New Roman" w:hAnsi="Times New Roman" w:cs="Times New Roman"/>
        </w:rPr>
        <w:sectPr w:rsidR="00FF132B">
          <w:pgSz w:w="16838" w:h="11906" w:orient="landscape"/>
          <w:pgMar w:top="850" w:right="567" w:bottom="567" w:left="850" w:header="0" w:footer="0" w:gutter="0"/>
          <w:pgNumType w:start="1"/>
          <w:cols w:space="1296"/>
        </w:sectPr>
      </w:pPr>
    </w:p>
    <w:p w:rsidR="00FF132B" w:rsidRDefault="00711211">
      <w:pPr>
        <w:pStyle w:val="Heading1"/>
        <w:jc w:val="center"/>
      </w:pPr>
      <w:r>
        <w:lastRenderedPageBreak/>
        <w:t>PROGRAMOS ĮGYVENDINIMAS: PROGRAMOS PASKIRTIS, REIKALAVIMAI MOKYTOJUI</w:t>
      </w:r>
      <w:r>
        <w:rPr>
          <w:color w:val="000000"/>
        </w:rPr>
        <w:t>,</w:t>
      </w:r>
      <w:r>
        <w:rPr>
          <w:color w:val="FF0000"/>
        </w:rPr>
        <w:t xml:space="preserve"> </w:t>
      </w:r>
      <w:r>
        <w:t>INTEGRAVIMO GALIMYBĖS,</w:t>
      </w:r>
    </w:p>
    <w:p w:rsidR="00FF132B" w:rsidRDefault="00711211">
      <w:pPr>
        <w:pBdr>
          <w:top w:val="nil"/>
          <w:left w:val="nil"/>
          <w:bottom w:val="nil"/>
          <w:right w:val="nil"/>
          <w:between w:val="nil"/>
        </w:pBdr>
        <w:spacing w:before="135" w:line="276" w:lineRule="auto"/>
        <w:ind w:left="218" w:right="39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UGDYMO GAIRĖS, APLINKA</w:t>
      </w:r>
    </w:p>
    <w:p w:rsidR="00FF132B" w:rsidRDefault="00711211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218" w:right="396" w:firstLine="10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Ekologijos ir aplinkos technologijų ugdymo paskirtis – perteikti ekologijos žinių pradmenis, suformuoti ekologijos ir aplinkos technologijų brandos pagrindus. Akcentuojamas patirtinis mokymas(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– artimosios a</w:t>
      </w:r>
      <w:r>
        <w:rPr>
          <w:rFonts w:ascii="Times New Roman" w:eastAsia="Times New Roman" w:hAnsi="Times New Roman" w:cs="Times New Roman"/>
          <w:color w:val="000000"/>
        </w:rPr>
        <w:t>plinkos pažinimas per pojūčius, praktinę veiklą. Mokiniai mokosi suvokti savo pojūčius, ugdytis gebėjimą žodžiu ir kūrybiniais darbais išreikšti jausmus bei požiūrį į vykstančius gamtoje procesus.</w:t>
      </w:r>
    </w:p>
    <w:p w:rsidR="00FF132B" w:rsidRDefault="007112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right="39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Savo turiniu, tikslais ir uždaviniais, gebėjimų ugdymu(si) </w:t>
      </w:r>
      <w:r>
        <w:rPr>
          <w:rFonts w:ascii="Times New Roman" w:eastAsia="Times New Roman" w:hAnsi="Times New Roman" w:cs="Times New Roman"/>
          <w:color w:val="000000"/>
        </w:rPr>
        <w:t xml:space="preserve">ekologijos ir aplinkos technologijų ugdymas siejasi su visais mokomaisiais dalykais. Pamokose ir Mokyklos tradiciniuose renginiuose numatomos netradicinės, integruotos pamokos, kuriose įgyvendinami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tarpdalykiniai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ryšiai. Mokymosi aplinka orientuota į atvir</w:t>
      </w:r>
      <w:r>
        <w:rPr>
          <w:rFonts w:ascii="Times New Roman" w:eastAsia="Times New Roman" w:hAnsi="Times New Roman" w:cs="Times New Roman"/>
          <w:color w:val="000000"/>
        </w:rPr>
        <w:t>ą, ramią, kūrybingą mokinių ir mokytojų veiklą. Skatinamos edukacinės pamokos Akmenės ir kaimyninių rajonų muziejuose, mokinių ir mokytojų gerosios patirties sklaida kitose ugdymo įstaigose.</w:t>
      </w:r>
    </w:p>
    <w:p w:rsidR="00FF132B" w:rsidRDefault="00711211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REIKALAVIMAI MOKYTOJAMS: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turi tvirtas ekologines, ap</w:t>
      </w:r>
      <w:r>
        <w:rPr>
          <w:rFonts w:ascii="Times New Roman" w:eastAsia="Times New Roman" w:hAnsi="Times New Roman" w:cs="Times New Roman"/>
          <w:color w:val="000000"/>
        </w:rPr>
        <w:t xml:space="preserve">linkos tausojimo ir kūrimo nuostatas; 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asmeniniu pavyzdžiu formuoja mokinių ekologines vertybines nuostatas, aktyviai dalyvauja savivaldybės, šalies ir tarptautiniuose ekologijos ir aplinkos technologijų projektuose, akcijose ir kitose veiklose; 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įgyvendi</w:t>
      </w:r>
      <w:r>
        <w:rPr>
          <w:rFonts w:ascii="Times New Roman" w:eastAsia="Times New Roman" w:hAnsi="Times New Roman" w:cs="Times New Roman"/>
          <w:color w:val="000000"/>
        </w:rPr>
        <w:t xml:space="preserve">na mokyklos filosofiją ir aplinkos technologijų ugdymo tikslus ir uždavinius; 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turi ekologijos ir aplinkos technologijų kompetencijas, geba planuoti, organizuoti ir įgyvendinti ekologijos ir aplinkos technologijų ugdymo turinį; 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geba organizuoti patirtinio</w:t>
      </w:r>
      <w:r>
        <w:rPr>
          <w:rFonts w:ascii="Times New Roman" w:eastAsia="Times New Roman" w:hAnsi="Times New Roman" w:cs="Times New Roman"/>
          <w:color w:val="000000"/>
        </w:rPr>
        <w:t xml:space="preserve"> mokymo(si) veiklą, taikyti įvairias mokymo formas, organizuoti praktines užduotis, reflektuoti; 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geba iš mokinių bendros asmeninės patirties išskirti konstruktą ir vystyti jo raidą per patirties refleksiją ir emocijų atspindėjimą; 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pasižymi socialinėmis-e</w:t>
      </w:r>
      <w:r>
        <w:rPr>
          <w:rFonts w:ascii="Times New Roman" w:eastAsia="Times New Roman" w:hAnsi="Times New Roman" w:cs="Times New Roman"/>
          <w:color w:val="000000"/>
        </w:rPr>
        <w:t xml:space="preserve">mocinėmis kompetencijomis: kuria pasitikėjimu ir bendradarbiavimu grįstus santykius, geba užmegzti pozityvų kontaktą; </w:t>
      </w:r>
    </w:p>
    <w:p w:rsidR="00FF132B" w:rsidRDefault="00711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nuolat tobulina kvalifikaciją ekologijos ir aplinkos technologijų patirtinio mokymo srityje, geba įsivertinti savo veiklą.</w:t>
      </w:r>
    </w:p>
    <w:p w:rsidR="00FF132B" w:rsidRDefault="00711211">
      <w:pPr>
        <w:tabs>
          <w:tab w:val="left" w:pos="938"/>
          <w:tab w:val="left" w:pos="939"/>
        </w:tabs>
        <w:spacing w:line="360" w:lineRule="auto"/>
        <w:ind w:right="265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INTEGRAVIMO GALIMYBĖS</w:t>
      </w:r>
    </w:p>
    <w:p w:rsidR="00FF132B" w:rsidRDefault="00711211">
      <w:pPr>
        <w:tabs>
          <w:tab w:val="left" w:pos="938"/>
          <w:tab w:val="left" w:pos="939"/>
        </w:tabs>
        <w:spacing w:line="360" w:lineRule="auto"/>
        <w:jc w:val="both"/>
        <w:rPr>
          <w:rFonts w:ascii="Times New Roman" w:eastAsia="Times New Roman" w:hAnsi="Times New Roman" w:cs="Times New Roman"/>
        </w:rPr>
        <w:sectPr w:rsidR="00FF132B">
          <w:headerReference w:type="default" r:id="rId8"/>
          <w:footerReference w:type="default" r:id="rId9"/>
          <w:pgSz w:w="16838" w:h="11906" w:orient="landscape"/>
          <w:pgMar w:top="1020" w:right="560" w:bottom="280" w:left="1200" w:header="569" w:footer="0" w:gutter="0"/>
          <w:cols w:space="1296"/>
        </w:sectPr>
      </w:pPr>
      <w:r>
        <w:rPr>
          <w:rFonts w:ascii="Times New Roman" w:eastAsia="Times New Roman" w:hAnsi="Times New Roman" w:cs="Times New Roman"/>
        </w:rPr>
        <w:tab/>
        <w:t xml:space="preserve">Remiantis mokyklos 2021-2023 m. strateginio plano  SSGG analize,  mokykla  turi prielaidas sėkmingam programos </w:t>
      </w:r>
      <w:r>
        <w:rPr>
          <w:rFonts w:ascii="Times New Roman" w:eastAsia="Times New Roman" w:hAnsi="Times New Roman" w:cs="Times New Roman"/>
        </w:rPr>
        <w:t>įgyvendinimui ir   integracijai į visus mokomuosius dalykus.</w:t>
      </w:r>
    </w:p>
    <w:p w:rsidR="00FF132B" w:rsidRDefault="00711211">
      <w:pPr>
        <w:spacing w:line="360" w:lineRule="auto"/>
        <w:ind w:left="218" w:right="43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EKOLOGIJOS IR APLINKOS TECHNOLOGIJŲ TEMŲ INTEGRAVIMAS Į UGDYMO TURINĮ</w:t>
      </w:r>
    </w:p>
    <w:p w:rsidR="00FF132B" w:rsidRDefault="00FF132B">
      <w:pPr>
        <w:spacing w:line="360" w:lineRule="auto"/>
        <w:ind w:right="431" w:firstLine="218"/>
        <w:jc w:val="both"/>
        <w:rPr>
          <w:rFonts w:ascii="Times New Roman" w:eastAsia="Times New Roman" w:hAnsi="Times New Roman" w:cs="Times New Roman"/>
        </w:rPr>
      </w:pPr>
    </w:p>
    <w:p w:rsidR="00FF132B" w:rsidRDefault="0071121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Pradinio ugdymo programoje integruojama </w:t>
      </w:r>
      <w:r>
        <w:rPr>
          <w:rFonts w:ascii="Times New Roman" w:eastAsia="Times New Roman" w:hAnsi="Times New Roman" w:cs="Times New Roman"/>
          <w:b/>
        </w:rPr>
        <w:t>ne mažiau kaip 20 proc</w:t>
      </w:r>
      <w:r>
        <w:rPr>
          <w:rFonts w:ascii="Times New Roman" w:eastAsia="Times New Roman" w:hAnsi="Times New Roman" w:cs="Times New Roman"/>
        </w:rPr>
        <w:t xml:space="preserve">., pagrindinio ugdymo programoje </w:t>
      </w:r>
      <w:r>
        <w:rPr>
          <w:rFonts w:ascii="Times New Roman" w:eastAsia="Times New Roman" w:hAnsi="Times New Roman" w:cs="Times New Roman"/>
          <w:b/>
        </w:rPr>
        <w:t xml:space="preserve">ne mažiau kaip 35 </w:t>
      </w:r>
      <w:r>
        <w:rPr>
          <w:rFonts w:ascii="Times New Roman" w:eastAsia="Times New Roman" w:hAnsi="Times New Roman" w:cs="Times New Roman"/>
          <w:b/>
        </w:rPr>
        <w:t>proc.</w:t>
      </w:r>
      <w:r>
        <w:rPr>
          <w:rFonts w:ascii="Times New Roman" w:eastAsia="Times New Roman" w:hAnsi="Times New Roman" w:cs="Times New Roman"/>
        </w:rPr>
        <w:t xml:space="preserve"> projektinių, praktinių, tiriamųjų veiklų. </w:t>
      </w:r>
    </w:p>
    <w:p w:rsidR="00FF132B" w:rsidRDefault="00711211">
      <w:pPr>
        <w:spacing w:line="360" w:lineRule="auto"/>
        <w:ind w:right="4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Organizuojant edukacines veiklas, į dalykų turinį integruojamos šios temos:</w:t>
      </w:r>
    </w:p>
    <w:tbl>
      <w:tblPr>
        <w:tblStyle w:val="a1"/>
        <w:tblW w:w="15418" w:type="dxa"/>
        <w:jc w:val="center"/>
        <w:tblInd w:w="0" w:type="dxa"/>
        <w:tblLayout w:type="fixed"/>
        <w:tblLook w:val="0000"/>
      </w:tblPr>
      <w:tblGrid>
        <w:gridCol w:w="3346"/>
        <w:gridCol w:w="7368"/>
        <w:gridCol w:w="731"/>
        <w:gridCol w:w="3973"/>
      </w:tblGrid>
      <w:tr w:rsidR="00FF132B">
        <w:trPr>
          <w:jc w:val="center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F132B" w:rsidRDefault="00711211" w:rsidP="004527D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Ekologijos ir aplinkos</w:t>
            </w:r>
          </w:p>
          <w:p w:rsidR="00FF132B" w:rsidRDefault="00711211" w:rsidP="004527D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technologijų ugdymo sritis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Tema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Klasė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Dalykai į kuriuos integruojama</w:t>
            </w:r>
          </w:p>
        </w:tc>
      </w:tr>
      <w:tr w:rsidR="00FF132B">
        <w:trPr>
          <w:jc w:val="center"/>
        </w:trPr>
        <w:tc>
          <w:tcPr>
            <w:tcW w:w="33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1. Ekologija ir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aplinkosauga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Visa, kas gyva – auga, juda, keičiasi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Pasaulio pažinimas, dailė, etika, matematika, gimtoji kalba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Ką reiškia gyventi ekologiškai?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Vanduo – gyvybės šaltinis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 teršia mūsų aplinką?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 ta ekologija?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Biologija, fizika,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chemija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Kaip žmogus veikia aplinką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Biologija, fizika, chemija, geografija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Vandens tarša, žemės tarša oro tarša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Biologija, fizika, chemija, geografija</w:t>
            </w:r>
          </w:p>
        </w:tc>
      </w:tr>
      <w:tr w:rsidR="00FF132B">
        <w:trPr>
          <w:trHeight w:val="473"/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 sukuria daugiausia aplinkosaugos problemų? Gamtosaugininkų paskaita.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Visi mokomieji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dalykai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Atsinaujinantys energijos šaltiniai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 mokomieji dalykai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Žmogaus ekologinė niša. Oro, vandens, dirvožemio tarša ir apsauga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Biologija, fizika, chemija, geografija, istorija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Žemė – mūsų visų namai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Rusų k., anglų k., gamta ir žmogus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Gamtosauga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Rusų k.,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Ekologinės datos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Globalinės mūsų amžiaus ekologinės problemos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Rusų k., anglų k., istorija,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Šiukšlių rūšiavimas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Rusų k.,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Aplinkosauga prasideda namuose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Chemija, fizika,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Vartotojiškos veiklos pasekmės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Fizika, užsienio k., istorija,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Nykstančių rūšių globa (Lietuvos raudonoji knyga)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Gamta ir žmogus, biologija,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Turizmas ir aplinkos apsauga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k., rusų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Šiuolaikinės technologijos ir jų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įtaka aplinkai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Kultūrų susiliejimas ir sintezė. ,,Visuomenės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vartotojiškumo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,,sudaiktėjimo”, „Ekologinės miestų problemos”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Dailė, technologijos,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Ekologinis turizmas; neįprasti kelionių maršrutai. Aplinką tausojantis keliavimas.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k., rusų k., biologija, neformalusis švietimas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Klimato kaita ir gamtos stichijos. Baltijos jūros regiono ekologinės problemos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k., biologija, geografija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Visuotinis judėjimas prieš klimato kaitą;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savanorystės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veikla. </w:t>
            </w:r>
            <w:r>
              <w:rPr>
                <w:rFonts w:ascii="Times New Roman" w:eastAsia="Times New Roman" w:hAnsi="Times New Roman" w:cs="Times New Roman"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Thunberg</w:t>
            </w:r>
            <w:proofErr w:type="spellEnd"/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Ekologiniai prekių ženklai. Atsakingas vartojimas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Globalinės problemos. Gamta, mokslas, technika – draugai ar priešai?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 (tikyba)</w:t>
            </w:r>
          </w:p>
        </w:tc>
      </w:tr>
      <w:tr w:rsidR="00FF132B">
        <w:trPr>
          <w:jc w:val="center"/>
        </w:trPr>
        <w:tc>
          <w:tcPr>
            <w:tcW w:w="33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2. Atliekų mažinimas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Ekologiškų produktų ženklinimas.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Technologijos,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pasaulio pažinimas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Atliekų rūšiavimas.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Kaip elgiasi ekologas?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Antrinių žaliavų panaudojimas.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Atliekų rūšiavimas, irimas, sąvartynų naikinimas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ugdymas, biologija, fizika,</w:t>
            </w:r>
          </w:p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chemija, geografija, 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Šiukšlių ir šiukšlynų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problema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 mokomieji dalykai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Kaip žmonės teršia savo gyvenamąją aplinką?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Mechaninis rūšiavimas ir biologinis apdorojimas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Žmogaus elgesys ir aplinka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ugdymas, pilietiškumo</w:t>
            </w:r>
          </w:p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pagrindai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Atliekų kiekių mažinimo būdai: perdirbimas, pernaudojimas, kiekio mažinimas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Fizika,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Kompiuterių atliekų tvarkymas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Informacinės 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Atliekų perdirbimas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trHeight w:val="292"/>
          <w:jc w:val="center"/>
        </w:trPr>
        <w:tc>
          <w:tcPr>
            <w:tcW w:w="33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3. Žmogaus ryšys su gamta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Atsakomybė už gamtą.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1-10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Dorinis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ugdymas, pasaulio pažinimas,</w:t>
            </w:r>
          </w:p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k., dailė, muzika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Gamtos grožis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Miškų vaidmuo ir jų nykimo padariniai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Geografija,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Ką duoda žmogui miškas?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Geografija,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Gamtos grožis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Technologijos, biologija, lietuvių k., dailė,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muzika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Pranešimai, viešasis kalbėjimas ekologinės etikos sąsajų su lietuvių literatūra temomis.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kalba ir literatūra, informacinės technologijos,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Žemės ūkio pažanga: už ir prieš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Chemija, geografija, biologija,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Ekologinė ir gamtinė žemdirbystė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Biologija, geografija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Gamtamokslinių pranešimų rengimas.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Ekoverslo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pagrindai.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 mokomieji dalykai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DIG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daržininkavimo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metodas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Darnaus vystymosi, ekologinės etikos (lietuvių tautosaka, V.Krėvės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apsakymas ,,Skerdžius”)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kalba ir literatūra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Darnaus vystymosi: pranešimai aplinkosaugos, pagarbos gyvybei, mokslo pažangos ir etikos temomis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kalba ir literatūra, dorinis ugdymas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Darnaus vystymosi: poveikio aplinkai vertinimo,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tvarios miškininkystės temos</w:t>
            </w:r>
          </w:p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(A.Baranausko ir kitų romantikų kūryba)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kalba ir literatūra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Pažintis su Akmenės rajonu. Kelionės, turizmas, ekologiškos susisiekimo priemonės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Rusų k, anglų k., kitų dalykų pamokos netradicinėje aplinkoje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Senosios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ir šiuolaikinės architektūros įtaka aplinkai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Dailė ir 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Tautodailės įtaka vizualiesiems reiškiniams. ,,Gyvybės medis”, ,,Lėkiai”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Dailė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Priimu pasaulį, žmogų, kaip Dievo dovanas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 (tikyba), 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Eksperimentai su žmonėmis, bandymai su gyvūnais. 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 (etika)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Gamta lietuvių liaudies kūryboje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kalba ir literatūra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Gamta ir lietuvis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Katiliškio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romane ,,Miškais ateina ruduo”. Just. Marcinkevičiaus lyrikoje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Lietuvių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kalba ir literatūra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Gamta ir žmogus K. Donelaičio , A. Baranausko , Maironio , Juozo Tumo – Vaižganto kūryboje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kalba ir literatūra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Tradicinė pasaulio samprata. Pasaulio medis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kalba ir literatūra</w:t>
            </w:r>
          </w:p>
        </w:tc>
      </w:tr>
      <w:tr w:rsidR="00FF132B">
        <w:trPr>
          <w:jc w:val="center"/>
        </w:trPr>
        <w:tc>
          <w:tcPr>
            <w:tcW w:w="33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4. Sveikata ir saugi aplinka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Maisto gaminimas, receptų analizavimas 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k., 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Žmogaus kūnas ir jo dalys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Maitinimosi įpročiai ir bendruomenės sveikata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k., technologijos,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Sportas ir kita laisvalaikio veikla; žalingi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įpročiai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Biologija, fizinis ugdymas, anglų k., rusų k., pasaulio pažinimas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Maistas, vanduo, mineralinės medžiagos, vitaminai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Chemija,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Sveikos mitybos taisyklės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Chemija, biologija, anglų k., rusų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Sveika gyvensena: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elektroninės cigaretės, jų žala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Klasių valandėlės,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Steroidų žala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Rūkymas: kas čia tokio, ar nieko tokio?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Klasių valandėlės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Psichologinė sveikata. Patyčių ir smurto prevencija. Žalingų įpročių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prevencinė veikla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Žmogaus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sauga, klasių valandėlės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Atsakingas elgesys su ugnimi, elektros prietaisais, cheminėmis medžiagomis, vaistais. Pagalba sau ir draugui nusideginus, susižeidus, apsipylus cheminėmis medžiagomis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Žmogaus sauga, chemija, fizika,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Tolerancija ir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tapatumas - diskusijos organizavimas.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 esu sveikas savo kūnu ir dvasia?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 (tikyba)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Aplinkos poveikis sveikatai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Dorinis ugdymas,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4. Patirtinis mokymasis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Klasės savitvarka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Mokinių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darbų parodos puošiant mokyklos erdves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Dailė, technologijos ir kt.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Inkilų gaminimas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Mokyklos daržo, prieskonių lysvių kūrimas ir priežiūra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Fenologiniai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stebėjimai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Pasaulio pažinimas, gamta ir žmogus,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Dekoratyvinių kompozicijų projektavimas ir kūrimas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Biologija, informacinės 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Miško maudynės/pojūčiai - praktinės veiklos miške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Ekologinis projektas ,,Pradėk nuo savęs“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Tiriamoji veikla: su oru, vandeniu, taršos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šaltiniais. Dirbtinės ir natūralios medžiagos artimoje žmogaus aplinkoje. Stebėjimai ir tyrimai su medžiagomis, jų žaliavomis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Chemija, fizika, 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Kraštovaizdis. Kultūrinis kraštovaizdis, kūrimo būdai pasitelkiant IT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Geografija, Informaci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nės 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Upcycling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pavyzdžiai ir projektinė veikla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Tyrimas, dokumentinio filmo analizė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Šiuolaikinio meno (tradicinio ir modernaus) įvairovė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Dailė, technologijos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Kūrybinių stilių įvairovė. ,,Žemės menas”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Dailė,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Vizualinės atminties lavinimas ,,Gamta dailės kūriniuose”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Lygtys, lygčių sistemos (praktinio turinio uždaviniai su ekologija ir sveika gyvensena)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Matematika 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Saugus elgesys einant į stadioną, bėgant nemindžioti žolynų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Fizinis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ugdymas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Projektinė veikla „Cukraus kiekis gaiviuosiuose gėrimuose ir maisto produktuose“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Biologija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Lietuvių gyvenimas darnoje su gamta: šiandien ir senovėje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Kūrybiniai mokinių gamtamoksliniai projektai ir jų pristatymai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Biologija, </w:t>
            </w:r>
            <w:r>
              <w:rPr>
                <w:rFonts w:ascii="Times New Roman" w:eastAsia="Times New Roman" w:hAnsi="Times New Roman" w:cs="Times New Roman"/>
              </w:rPr>
              <w:t>chemija, gamta ir žmogus, fizika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Dokumentikos peržiūra ir debatai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Anglų k.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Mokyklos lauko edukacinių erdvių kūrimas ir priežiūra.</w:t>
            </w:r>
          </w:p>
        </w:tc>
        <w:tc>
          <w:tcPr>
            <w:tcW w:w="47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Visa mokyklos bendruomenė</w:t>
            </w: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Susitikimai su miškų urėdijos darbuotojais. Medelių sodinimo akcija.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Vandens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telkinių/pakrančių valymo akcija.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Apsilankymas atliekų tvarkymo centre, susipažinimas su šiukšlių rūšiavimo technologija.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Teminiai fotografijų / piešinių konkursai.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Šiukšlių rinkimo „maratonas” - renkamos šiukšlės miestelyje ir aplink, sveriamas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surinktas „turtas“ ir apdovanojami daugiausiai surinkę.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„Mainų mugė“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Respublikinis projektas „Mes rūšiuojam“ ir kt.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Kūrybiniai projektai skirti savo krašto gamtos pažinimui ir saugojimui.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Pažintinės išvykos į Kamanų rezervatą ir kitas saugomas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teritorijas, Akmenės krašto muziejų, Mūšos tyrelio pažintinį taką ir kt.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Inaturalist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programėlės naudojimas fiksuojant vietovės augalus ir gyvūnus. Floros ir faunos žemėlapio kūrimas.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Ekologiniai žygiai (planavimas, vykdymas).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Akcija „Darom“,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mokyklos aplinkos tvarkymas, priežiūra.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132B">
        <w:trPr>
          <w:jc w:val="center"/>
        </w:trPr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FF132B" w:rsidRDefault="00711211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Akcija „Baltasis badas“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2B" w:rsidRDefault="00FF132B" w:rsidP="0045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132B" w:rsidRDefault="00FF132B">
      <w:pPr>
        <w:rPr>
          <w:rFonts w:ascii="Times New Roman" w:eastAsia="Times New Roman" w:hAnsi="Times New Roman" w:cs="Times New Roman"/>
        </w:rPr>
      </w:pPr>
    </w:p>
    <w:p w:rsidR="00FF132B" w:rsidRDefault="00711211">
      <w:pP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>Pastaba.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Prireikus, planas gali būti tobulinamas ir koreguojamas. </w:t>
      </w:r>
    </w:p>
    <w:p w:rsidR="00FF132B" w:rsidRDefault="00FF132B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:rsidR="00F665FC" w:rsidRDefault="00F665FC" w:rsidP="00F665FC">
      <w:pPr>
        <w:rPr>
          <w:rFonts w:ascii="Times New Roman" w:eastAsia="Times New Roman" w:hAnsi="Times New Roman" w:cs="Times New Roman"/>
          <w:color w:val="000000"/>
        </w:rPr>
      </w:pPr>
    </w:p>
    <w:p w:rsidR="00F665FC" w:rsidRPr="00F665FC" w:rsidRDefault="00F665FC" w:rsidP="00F665F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</w:t>
      </w:r>
    </w:p>
    <w:sectPr w:rsidR="00F665FC" w:rsidRPr="00F665FC" w:rsidSect="00480468">
      <w:headerReference w:type="default" r:id="rId10"/>
      <w:footerReference w:type="default" r:id="rId11"/>
      <w:pgSz w:w="16838" w:h="11906" w:orient="landscape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11" w:rsidRDefault="00711211">
      <w:pPr>
        <w:rPr>
          <w:rFonts w:hint="eastAsia"/>
        </w:rPr>
      </w:pPr>
      <w:r>
        <w:separator/>
      </w:r>
    </w:p>
  </w:endnote>
  <w:endnote w:type="continuationSeparator" w:id="0">
    <w:p w:rsidR="00711211" w:rsidRDefault="007112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2B" w:rsidRDefault="004804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 w:rsidR="00711211"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030E09">
      <w:rPr>
        <w:rFonts w:eastAsia="Liberation Serif" w:cs="Liberation Serif"/>
        <w:noProof/>
        <w:color w:val="000000"/>
      </w:rPr>
      <w:t>6</w:t>
    </w:r>
    <w:r>
      <w:rPr>
        <w:rFonts w:eastAsia="Liberation Serif" w:cs="Liberation Serif"/>
        <w:color w:val="000000"/>
      </w:rPr>
      <w:fldChar w:fldCharType="end"/>
    </w:r>
  </w:p>
  <w:p w:rsidR="00FF132B" w:rsidRDefault="00FF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2B" w:rsidRDefault="004804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 w:rsidR="00711211"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030E09">
      <w:rPr>
        <w:rFonts w:eastAsia="Liberation Serif" w:cs="Liberation Serif"/>
        <w:noProof/>
        <w:color w:val="000000"/>
      </w:rPr>
      <w:t>13</w:t>
    </w:r>
    <w:r>
      <w:rPr>
        <w:rFonts w:eastAsia="Liberation Serif" w:cs="Liberation Serif"/>
        <w:color w:val="000000"/>
      </w:rPr>
      <w:fldChar w:fldCharType="end"/>
    </w:r>
  </w:p>
  <w:p w:rsidR="00FF132B" w:rsidRDefault="00FF1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11" w:rsidRDefault="00711211">
      <w:pPr>
        <w:rPr>
          <w:rFonts w:hint="eastAsia"/>
        </w:rPr>
      </w:pPr>
      <w:r>
        <w:separator/>
      </w:r>
    </w:p>
  </w:footnote>
  <w:footnote w:type="continuationSeparator" w:id="0">
    <w:p w:rsidR="00711211" w:rsidRDefault="007112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2B" w:rsidRDefault="00FF132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Liberation Serif" w:cs="Liberation Serif"/>
        <w:color w:val="000000"/>
        <w:sz w:val="20"/>
        <w:szCs w:val="20"/>
      </w:rPr>
    </w:pPr>
  </w:p>
  <w:p w:rsidR="00FF132B" w:rsidRDefault="00FF132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Liberation Serif" w:cs="Liberation Serif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2B" w:rsidRDefault="00FF132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Liberation Serif" w:cs="Liberation Serif"/>
        <w:color w:val="000000"/>
        <w:sz w:val="20"/>
        <w:szCs w:val="20"/>
      </w:rPr>
    </w:pPr>
  </w:p>
  <w:p w:rsidR="00FF132B" w:rsidRDefault="00FF132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eastAsia="Liberation Serif" w:cs="Liberation Serif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167"/>
    <w:multiLevelType w:val="multilevel"/>
    <w:tmpl w:val="2CF64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C11152"/>
    <w:multiLevelType w:val="multilevel"/>
    <w:tmpl w:val="6168619C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530A01"/>
    <w:multiLevelType w:val="multilevel"/>
    <w:tmpl w:val="1884F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165419"/>
    <w:multiLevelType w:val="multilevel"/>
    <w:tmpl w:val="F2EABA56"/>
    <w:lvl w:ilvl="0">
      <w:numFmt w:val="bullet"/>
      <w:lvlText w:val="●"/>
      <w:lvlJc w:val="left"/>
      <w:pPr>
        <w:ind w:left="1107" w:hanging="5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493648"/>
    <w:multiLevelType w:val="multilevel"/>
    <w:tmpl w:val="34644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32B"/>
    <w:rsid w:val="00030E09"/>
    <w:rsid w:val="004527DB"/>
    <w:rsid w:val="00480468"/>
    <w:rsid w:val="00711211"/>
    <w:rsid w:val="00AB4B1E"/>
    <w:rsid w:val="00B93CC2"/>
    <w:rsid w:val="00DA6605"/>
    <w:rsid w:val="00F665FC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68"/>
    <w:pPr>
      <w:suppressAutoHyphens/>
    </w:pPr>
    <w:rPr>
      <w:rFonts w:eastAsia="NSimSun" w:cs="Arial"/>
      <w:kern w:val="2"/>
      <w:lang w:eastAsia="zh-CN" w:bidi="hi-IN"/>
    </w:rPr>
  </w:style>
  <w:style w:type="paragraph" w:styleId="Heading1">
    <w:name w:val="heading 1"/>
    <w:basedOn w:val="Normal"/>
    <w:uiPriority w:val="9"/>
    <w:qFormat/>
    <w:rsid w:val="00480468"/>
    <w:pPr>
      <w:widowControl w:val="0"/>
      <w:ind w:left="218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80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80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8046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804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80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80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80468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BodyText"/>
    <w:qFormat/>
    <w:rsid w:val="00480468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rsid w:val="00480468"/>
    <w:pPr>
      <w:spacing w:after="140" w:line="276" w:lineRule="auto"/>
    </w:pPr>
  </w:style>
  <w:style w:type="paragraph" w:styleId="List">
    <w:name w:val="List"/>
    <w:basedOn w:val="BodyText"/>
    <w:rsid w:val="00480468"/>
  </w:style>
  <w:style w:type="paragraph" w:customStyle="1" w:styleId="Rodykl">
    <w:name w:val="Rodyklė"/>
    <w:basedOn w:val="Normal"/>
    <w:qFormat/>
    <w:rsid w:val="00480468"/>
    <w:pPr>
      <w:suppressLineNumbers/>
    </w:pPr>
  </w:style>
  <w:style w:type="paragraph" w:customStyle="1" w:styleId="Lentelsturinys">
    <w:name w:val="Lentelės turinys"/>
    <w:basedOn w:val="Normal"/>
    <w:qFormat/>
    <w:rsid w:val="00480468"/>
    <w:pPr>
      <w:widowControl w:val="0"/>
      <w:suppressLineNumbers/>
    </w:pPr>
  </w:style>
  <w:style w:type="paragraph" w:styleId="ListParagraph">
    <w:name w:val="List Paragraph"/>
    <w:basedOn w:val="Normal"/>
    <w:qFormat/>
    <w:rsid w:val="00480468"/>
    <w:pPr>
      <w:widowControl w:val="0"/>
      <w:spacing w:before="7"/>
      <w:ind w:left="938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480468"/>
    <w:pPr>
      <w:widowControl w:val="0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480468"/>
    <w:pPr>
      <w:suppressAutoHyphens/>
    </w:pPr>
    <w:rPr>
      <w:rFonts w:ascii="EUAlbertina" w:eastAsia="Calibri" w:hAnsi="EUAlbertina" w:cs="EUAlbertina"/>
      <w:color w:val="000000"/>
      <w:lang w:eastAsia="en-US"/>
    </w:rPr>
  </w:style>
  <w:style w:type="paragraph" w:customStyle="1" w:styleId="Puslapinantratirporat">
    <w:name w:val="Puslapinė antraštė ir poraštė"/>
    <w:basedOn w:val="Normal"/>
    <w:qFormat/>
    <w:rsid w:val="00480468"/>
  </w:style>
  <w:style w:type="paragraph" w:styleId="Footer">
    <w:name w:val="footer"/>
    <w:basedOn w:val="Normal"/>
    <w:rsid w:val="00480468"/>
    <w:pPr>
      <w:tabs>
        <w:tab w:val="center" w:pos="4819"/>
        <w:tab w:val="right" w:pos="9638"/>
      </w:tabs>
    </w:pPr>
  </w:style>
  <w:style w:type="paragraph" w:styleId="Header">
    <w:name w:val="header"/>
    <w:basedOn w:val="Puslapinantratirporat"/>
    <w:rsid w:val="00480468"/>
  </w:style>
  <w:style w:type="paragraph" w:styleId="Subtitle">
    <w:name w:val="Subtitle"/>
    <w:basedOn w:val="Normal"/>
    <w:next w:val="Normal"/>
    <w:uiPriority w:val="11"/>
    <w:qFormat/>
    <w:rsid w:val="00480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804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4804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48046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RPdHftNe6/uOUy04A11wjiEtw==">AMUW2mVi+SxVm2jYkNkhGIRGFEoF+sXr8NUwrOVoOw2tEe/wDj4sbfyUoO/+amYYPhrUSu4DI7b+n9HkGB7L3sk0ajkQyBwQ9S9OhuG/NHTl7ohscnOpHqs=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3803</Words>
  <Characters>21681</Characters>
  <Application>Microsoft Office Word</Application>
  <DocSecurity>0</DocSecurity>
  <Lines>180</Lines>
  <Paragraphs>50</Paragraphs>
  <ScaleCrop>false</ScaleCrop>
  <Company/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Sandra</cp:lastModifiedBy>
  <cp:revision>8</cp:revision>
  <dcterms:created xsi:type="dcterms:W3CDTF">2023-03-01T17:58:00Z</dcterms:created>
  <dcterms:modified xsi:type="dcterms:W3CDTF">2023-03-02T10:04:00Z</dcterms:modified>
</cp:coreProperties>
</file>